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D33F" w14:textId="77777777" w:rsidR="00F833FB" w:rsidRDefault="00000000">
      <w:pPr>
        <w:jc w:val="center"/>
        <w:rPr>
          <w:rFonts w:ascii="方正小标宋简体" w:eastAsia="方正小标宋简体"/>
          <w:sz w:val="44"/>
          <w:szCs w:val="44"/>
        </w:rPr>
      </w:pPr>
      <w:r>
        <w:rPr>
          <w:rFonts w:ascii="方正小标宋简体" w:eastAsia="方正小标宋简体" w:hint="eastAsia"/>
          <w:sz w:val="40"/>
          <w:szCs w:val="40"/>
        </w:rPr>
        <w:t>近三年思想工作总结</w:t>
      </w:r>
    </w:p>
    <w:p w14:paraId="0074D5B5" w14:textId="77777777" w:rsidR="00F833FB" w:rsidRDefault="00000000">
      <w:pPr>
        <w:spacing w:beforeLines="50" w:before="156" w:line="360" w:lineRule="exact"/>
        <w:jc w:val="center"/>
        <w:rPr>
          <w:rFonts w:ascii="楷体_GB2312" w:eastAsia="楷体_GB2312"/>
          <w:sz w:val="28"/>
          <w:szCs w:val="28"/>
        </w:rPr>
      </w:pPr>
      <w:r>
        <w:rPr>
          <w:rFonts w:ascii="楷体_GB2312" w:eastAsia="楷体_GB2312" w:hint="eastAsia"/>
          <w:sz w:val="28"/>
          <w:szCs w:val="28"/>
        </w:rPr>
        <w:t>农学院  王  磊</w:t>
      </w:r>
    </w:p>
    <w:p w14:paraId="1D372E9D" w14:textId="77777777" w:rsidR="00F833FB" w:rsidRDefault="00000000">
      <w:pPr>
        <w:spacing w:beforeLines="50" w:before="156" w:line="360" w:lineRule="exact"/>
        <w:jc w:val="center"/>
        <w:rPr>
          <w:rFonts w:ascii="楷体_GB2312" w:eastAsia="楷体_GB2312"/>
          <w:sz w:val="28"/>
          <w:szCs w:val="28"/>
        </w:rPr>
      </w:pPr>
      <w:r>
        <w:rPr>
          <w:rFonts w:ascii="楷体_GB2312" w:eastAsia="楷体_GB2312" w:hint="eastAsia"/>
          <w:sz w:val="28"/>
          <w:szCs w:val="28"/>
        </w:rPr>
        <w:t>（2</w:t>
      </w:r>
      <w:r>
        <w:rPr>
          <w:rFonts w:ascii="楷体_GB2312" w:eastAsia="楷体_GB2312"/>
          <w:sz w:val="28"/>
          <w:szCs w:val="28"/>
        </w:rPr>
        <w:t>02</w:t>
      </w:r>
      <w:r>
        <w:rPr>
          <w:rFonts w:ascii="楷体_GB2312" w:eastAsia="楷体_GB2312" w:hint="eastAsia"/>
          <w:sz w:val="28"/>
          <w:szCs w:val="28"/>
        </w:rPr>
        <w:t>3年3月）</w:t>
      </w:r>
    </w:p>
    <w:p w14:paraId="6904024D" w14:textId="77777777" w:rsidR="00F833FB" w:rsidRDefault="00F833FB">
      <w:pPr>
        <w:adjustRightInd w:val="0"/>
        <w:snapToGrid w:val="0"/>
        <w:spacing w:line="360" w:lineRule="auto"/>
        <w:ind w:firstLineChars="200" w:firstLine="300"/>
        <w:rPr>
          <w:rFonts w:ascii="仿宋_GB2312" w:eastAsia="仿宋_GB2312" w:hAnsi="仿宋_GB2312" w:cs="仿宋_GB2312"/>
          <w:sz w:val="15"/>
          <w:szCs w:val="15"/>
        </w:rPr>
      </w:pPr>
    </w:p>
    <w:p w14:paraId="59D93D8B"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近年来，深入学习领会习近平新时代中国特色社会主义思想、二十大会议精神，树牢“四个意识”，坚定“四个自信”，深刻领悟“两个确立”的决定性意义，坚决做到“两个维护”，为使中原更加出彩、学院快速发展贡献力量。现将有关情况总结如下：</w:t>
      </w:r>
    </w:p>
    <w:p w14:paraId="7E1ADF80" w14:textId="77777777" w:rsidR="00F833FB" w:rsidRDefault="00000000">
      <w:pPr>
        <w:adjustRightInd w:val="0"/>
        <w:snapToGrid w:val="0"/>
        <w:spacing w:line="360" w:lineRule="auto"/>
        <w:ind w:firstLineChars="200" w:firstLine="560"/>
        <w:rPr>
          <w:rFonts w:ascii="黑体" w:eastAsia="黑体" w:hAnsi="黑体"/>
          <w:bCs/>
          <w:color w:val="000000"/>
          <w:sz w:val="28"/>
          <w:szCs w:val="28"/>
          <w:shd w:val="clear" w:color="auto" w:fill="FFFFFF"/>
        </w:rPr>
      </w:pPr>
      <w:r>
        <w:rPr>
          <w:rFonts w:ascii="黑体" w:eastAsia="黑体" w:hAnsi="黑体" w:hint="eastAsia"/>
          <w:bCs/>
          <w:color w:val="000000"/>
          <w:sz w:val="28"/>
          <w:szCs w:val="28"/>
          <w:shd w:val="clear" w:color="auto" w:fill="FFFFFF"/>
        </w:rPr>
        <w:t>一、思想政治方面</w:t>
      </w:r>
    </w:p>
    <w:p w14:paraId="67FD21D1"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认真学习习近平新时代中国特色社会主义思想、二十大精神和总书记系列重要讲话，尤其是有关高等教育和乡村振兴的重要论述，从思想和认识基础上同党中央和总书记保持高度一致。充分认识到“我国正处于近代以来最好的发展时期，世界正处于百年未有之大变局”的重要战略机遇，更加增强“四个意识”、坚定“四个自信”、坚决做到“两个维护”，努力提高政治站位，严格政治纪律。自觉把习近平新时代中国特色社会主义思想转化为坚定理想、锤炼党性和指导实践、推动工作的强大力量。</w:t>
      </w:r>
    </w:p>
    <w:p w14:paraId="7507338D" w14:textId="77777777" w:rsidR="00F833FB" w:rsidRDefault="00000000">
      <w:pPr>
        <w:adjustRightInd w:val="0"/>
        <w:snapToGrid w:val="0"/>
        <w:spacing w:line="360" w:lineRule="auto"/>
        <w:ind w:firstLineChars="200" w:firstLine="560"/>
        <w:rPr>
          <w:rFonts w:ascii="黑体" w:eastAsia="黑体" w:hAnsi="黑体"/>
          <w:bCs/>
          <w:color w:val="000000"/>
          <w:sz w:val="28"/>
          <w:szCs w:val="28"/>
          <w:shd w:val="clear" w:color="auto" w:fill="FFFFFF"/>
        </w:rPr>
      </w:pPr>
      <w:r>
        <w:rPr>
          <w:rFonts w:ascii="黑体" w:eastAsia="黑体" w:hAnsi="黑体" w:hint="eastAsia"/>
          <w:bCs/>
          <w:color w:val="000000"/>
          <w:sz w:val="28"/>
          <w:szCs w:val="28"/>
          <w:shd w:val="clear" w:color="auto" w:fill="FFFFFF"/>
        </w:rPr>
        <w:t xml:space="preserve">二、工作能力方面 </w:t>
      </w:r>
    </w:p>
    <w:p w14:paraId="3051A641"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贯彻落实新发展理念，是对领导干部执政能力的巨大考验。总书记强调，要深学笃用；要用好辩证法；要创新手段；要守住底线。落实好这些要求，在知与行的相互促进中不断深入实践，才能真正做到崇尚创新，积极应对新形势新挑战。</w:t>
      </w:r>
    </w:p>
    <w:p w14:paraId="4763D32B" w14:textId="77777777" w:rsidR="00F833FB" w:rsidRDefault="00000000">
      <w:pPr>
        <w:adjustRightInd w:val="0"/>
        <w:snapToGrid w:val="0"/>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1.坚持党建引领，聚焦学院中心工作</w:t>
      </w:r>
    </w:p>
    <w:p w14:paraId="5BA9045E"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紧抓“双航母”战略机遇，将师生发展与学院事业发展紧密结合，充分发挥基层党支部战斗堡垒和党员先锋模范作用。推动党建工作和</w:t>
      </w:r>
      <w:r>
        <w:rPr>
          <w:rFonts w:ascii="仿宋_GB2312" w:eastAsia="仿宋_GB2312" w:hAnsi="仿宋_GB2312" w:cs="仿宋_GB2312" w:hint="eastAsia"/>
          <w:sz w:val="28"/>
          <w:szCs w:val="28"/>
        </w:rPr>
        <w:lastRenderedPageBreak/>
        <w:t>一流学科建设工作相融合，树立党建引领下的“大人才”“大项目”“大团队”“大贡献”发展理念。</w:t>
      </w:r>
    </w:p>
    <w:p w14:paraId="7E196BA0"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选举产生了第一届中共农学院委员会委员，为学院工作的</w:t>
      </w:r>
      <w:r>
        <w:rPr>
          <w:rFonts w:ascii="仿宋_GB2312" w:eastAsia="仿宋_GB2312" w:hAnsi="仿宋_GB2312" w:cs="仿宋_GB2312" w:hint="eastAsia"/>
          <w:sz w:val="28"/>
          <w:szCs w:val="28"/>
        </w:rPr>
        <w:t>进一步快速</w:t>
      </w:r>
      <w:r>
        <w:rPr>
          <w:rFonts w:ascii="仿宋_GB2312" w:eastAsia="仿宋_GB2312" w:hAnsi="仿宋_GB2312" w:cs="仿宋_GB2312"/>
          <w:sz w:val="28"/>
          <w:szCs w:val="28"/>
        </w:rPr>
        <w:t>开展提供了</w:t>
      </w:r>
      <w:r>
        <w:rPr>
          <w:rFonts w:ascii="仿宋_GB2312" w:eastAsia="仿宋_GB2312" w:hAnsi="仿宋_GB2312" w:cs="仿宋_GB2312" w:hint="eastAsia"/>
          <w:sz w:val="28"/>
          <w:szCs w:val="28"/>
        </w:rPr>
        <w:t>组织</w:t>
      </w:r>
      <w:r>
        <w:rPr>
          <w:rFonts w:ascii="仿宋_GB2312" w:eastAsia="仿宋_GB2312" w:hAnsi="仿宋_GB2312" w:cs="仿宋_GB2312"/>
          <w:sz w:val="28"/>
          <w:szCs w:val="28"/>
        </w:rPr>
        <w:t>保障。统筹制定党委理论中心组学习计划，先后组织党委中心组理论学习（扩大）10</w:t>
      </w:r>
      <w:r>
        <w:rPr>
          <w:rFonts w:ascii="仿宋_GB2312" w:eastAsia="仿宋_GB2312" w:hAnsi="仿宋_GB2312" w:cs="仿宋_GB2312" w:hint="eastAsia"/>
          <w:sz w:val="28"/>
          <w:szCs w:val="28"/>
        </w:rPr>
        <w:t>余</w:t>
      </w:r>
      <w:r>
        <w:rPr>
          <w:rFonts w:ascii="仿宋_GB2312" w:eastAsia="仿宋_GB2312" w:hAnsi="仿宋_GB2312" w:cs="仿宋_GB2312"/>
          <w:sz w:val="28"/>
          <w:szCs w:val="28"/>
        </w:rPr>
        <w:t>次。在</w:t>
      </w:r>
      <w:r>
        <w:rPr>
          <w:rFonts w:ascii="仿宋_GB2312" w:eastAsia="仿宋_GB2312" w:hAnsi="仿宋_GB2312" w:cs="仿宋_GB2312" w:hint="eastAsia"/>
          <w:sz w:val="28"/>
          <w:szCs w:val="28"/>
        </w:rPr>
        <w:t>2022年</w:t>
      </w:r>
      <w:r>
        <w:rPr>
          <w:rFonts w:ascii="仿宋_GB2312" w:eastAsia="仿宋_GB2312" w:hAnsi="仿宋_GB2312" w:cs="仿宋_GB2312"/>
          <w:sz w:val="28"/>
          <w:szCs w:val="28"/>
        </w:rPr>
        <w:t>河南大学</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学习强国</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学习积分评比中，学院党委连续6个月排名第一。扎实开展《喜迎二十大，奋进新征程》系列主题党日活动，在21名</w:t>
      </w:r>
      <w:r>
        <w:rPr>
          <w:rFonts w:ascii="仿宋_GB2312" w:eastAsia="仿宋_GB2312" w:hAnsi="仿宋_GB2312" w:cs="仿宋_GB2312" w:hint="eastAsia"/>
          <w:sz w:val="28"/>
          <w:szCs w:val="28"/>
        </w:rPr>
        <w:t>学生</w:t>
      </w:r>
      <w:r>
        <w:rPr>
          <w:rFonts w:ascii="仿宋_GB2312" w:eastAsia="仿宋_GB2312" w:hAnsi="仿宋_GB2312" w:cs="仿宋_GB2312"/>
          <w:sz w:val="28"/>
          <w:szCs w:val="28"/>
        </w:rPr>
        <w:t>团员中，19名递交了入党申请书，比例高达90%以上</w:t>
      </w:r>
      <w:r>
        <w:rPr>
          <w:rFonts w:ascii="仿宋_GB2312" w:eastAsia="仿宋_GB2312" w:hAnsi="仿宋_GB2312" w:cs="仿宋_GB2312" w:hint="eastAsia"/>
          <w:sz w:val="28"/>
          <w:szCs w:val="28"/>
        </w:rPr>
        <w:t>。学院</w:t>
      </w:r>
      <w:r>
        <w:rPr>
          <w:rFonts w:ascii="仿宋_GB2312" w:eastAsia="仿宋_GB2312" w:hAnsi="仿宋_GB2312" w:cs="仿宋_GB2312"/>
          <w:sz w:val="28"/>
          <w:szCs w:val="28"/>
        </w:rPr>
        <w:t>教学科研成果受到《科学网》</w:t>
      </w:r>
      <w:r>
        <w:rPr>
          <w:rFonts w:ascii="仿宋_GB2312" w:eastAsia="仿宋_GB2312" w:hAnsi="仿宋_GB2312" w:cs="仿宋_GB2312" w:hint="eastAsia"/>
          <w:sz w:val="28"/>
          <w:szCs w:val="28"/>
        </w:rPr>
        <w:t>《河南日报》</w:t>
      </w:r>
      <w:r>
        <w:rPr>
          <w:rFonts w:ascii="仿宋_GB2312" w:eastAsia="仿宋_GB2312" w:hAnsi="仿宋_GB2312" w:cs="仿宋_GB2312"/>
          <w:sz w:val="28"/>
          <w:szCs w:val="28"/>
        </w:rPr>
        <w:t>等新闻媒体的宣传报道</w:t>
      </w:r>
      <w:r>
        <w:rPr>
          <w:rFonts w:ascii="仿宋_GB2312" w:eastAsia="仿宋_GB2312" w:hAnsi="仿宋_GB2312" w:cs="仿宋_GB2312" w:hint="eastAsia"/>
          <w:sz w:val="28"/>
          <w:szCs w:val="28"/>
        </w:rPr>
        <w:t>等。</w:t>
      </w:r>
    </w:p>
    <w:p w14:paraId="3042E564" w14:textId="77777777" w:rsidR="00F833FB" w:rsidRDefault="00000000">
      <w:pPr>
        <w:adjustRightInd w:val="0"/>
        <w:snapToGrid w:val="0"/>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2.坚持初心使命，扛牢育人责任</w:t>
      </w:r>
    </w:p>
    <w:p w14:paraId="1167085F"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把培养社会主义建设者和接班人作为自己在学校一切工作的出发点和落脚点，把立德树人成效作为检验自己工作效果的根本标准，不断提升全局观念、工作能力，增强工作的主动性、科学性和创造性。二十大后，认真学习领会并为学生宣讲《二十大精神学习与河南大学生物学科发展》、《精神的力量—学习总书记视察安阳重要讲话精神》等。学院</w:t>
      </w:r>
      <w:r>
        <w:rPr>
          <w:rFonts w:ascii="仿宋_GB2312" w:eastAsia="仿宋_GB2312" w:hAnsi="仿宋_GB2312" w:cs="仿宋_GB2312"/>
          <w:sz w:val="28"/>
          <w:szCs w:val="28"/>
        </w:rPr>
        <w:t>获批4项河南省卓越农林人才教育基地项目、</w:t>
      </w:r>
      <w:r>
        <w:rPr>
          <w:rFonts w:ascii="仿宋_GB2312" w:eastAsia="仿宋_GB2312" w:hAnsi="仿宋_GB2312" w:cs="仿宋_GB2312" w:hint="eastAsia"/>
          <w:sz w:val="28"/>
          <w:szCs w:val="28"/>
        </w:rPr>
        <w:t>1项河南省科协2023年度“科学中原”讲坛项目、</w:t>
      </w:r>
      <w:r>
        <w:rPr>
          <w:rFonts w:ascii="仿宋_GB2312" w:eastAsia="仿宋_GB2312" w:hAnsi="仿宋_GB2312" w:cs="仿宋_GB2312"/>
          <w:sz w:val="28"/>
          <w:szCs w:val="28"/>
        </w:rPr>
        <w:t>3项河南大学本科教学改革研究与实践项目、2项研究生教改项目、1项研究生思政项目</w:t>
      </w:r>
      <w:r>
        <w:rPr>
          <w:rFonts w:ascii="仿宋_GB2312" w:eastAsia="仿宋_GB2312" w:hAnsi="仿宋_GB2312" w:cs="仿宋_GB2312" w:hint="eastAsia"/>
          <w:sz w:val="28"/>
          <w:szCs w:val="28"/>
        </w:rPr>
        <w:t>等，育人体系不断完善。</w:t>
      </w:r>
    </w:p>
    <w:p w14:paraId="38B8CC39" w14:textId="77777777" w:rsidR="00F833FB" w:rsidRDefault="00000000">
      <w:pPr>
        <w:adjustRightInd w:val="0"/>
        <w:snapToGrid w:val="0"/>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3.坚持为民宗旨，推动创新发展</w:t>
      </w:r>
    </w:p>
    <w:p w14:paraId="247F8AE3"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带头坚持以人民为中心的发展思想，完整准确全面贯彻新发展理念，紧紧围绕“双一流”建设，推动学院改革发展稳定。学院新增河南省实验室基地2个，河南省工程技术研究中心1个；2022年获取研究经费1000万元以上；获第一届河南省博士后创新创业大赛金奖1项；新进国家杰青1人、中原学者1人，获河南大学人才工作先进</w:t>
      </w:r>
      <w:r>
        <w:rPr>
          <w:rFonts w:ascii="仿宋_GB2312" w:eastAsia="仿宋_GB2312" w:hAnsi="仿宋_GB2312" w:cs="仿宋_GB2312" w:hint="eastAsia"/>
          <w:sz w:val="28"/>
          <w:szCs w:val="28"/>
        </w:rPr>
        <w:lastRenderedPageBreak/>
        <w:t>单位；农业科学进入ESI全球前1%。与中国农业科学院农田灌溉研究所等单位开展实质性协同育人合作；“中原现代农业论坛”顺利进行；合作企业捐助100万资金用于我校农学学科发展；筹备建设河南省现代农业与未来食品研究会等。</w:t>
      </w:r>
    </w:p>
    <w:p w14:paraId="4BFFFAAF" w14:textId="77777777" w:rsidR="00F833FB" w:rsidRDefault="00000000">
      <w:pPr>
        <w:adjustRightInd w:val="0"/>
        <w:snapToGrid w:val="0"/>
        <w:spacing w:line="360" w:lineRule="auto"/>
        <w:ind w:firstLineChars="200" w:firstLine="562"/>
        <w:rPr>
          <w:rFonts w:ascii="楷体" w:eastAsia="楷体" w:hAnsi="楷体" w:cs="楷体"/>
          <w:b/>
          <w:bCs/>
          <w:sz w:val="28"/>
          <w:szCs w:val="28"/>
        </w:rPr>
      </w:pPr>
      <w:r>
        <w:rPr>
          <w:rFonts w:ascii="楷体" w:eastAsia="楷体" w:hAnsi="楷体" w:cs="楷体" w:hint="eastAsia"/>
          <w:b/>
          <w:bCs/>
          <w:sz w:val="28"/>
          <w:szCs w:val="28"/>
        </w:rPr>
        <w:t>4.加强班子建设，营造团结向上的发展氛围</w:t>
      </w:r>
    </w:p>
    <w:p w14:paraId="3640EBB5"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认真组织理论学习，不断提升班子理论水平、政策水平，紧盯国家和河南省发展战略，充分发挥民主，落实党政联席会议和“三重一大”制度。学院班子能够做到坚持问题导向，分工协作，相互支持、深入基层，找准创新发展难题，团结带领师生不折不扣贯彻落实党中央决策部署。</w:t>
      </w:r>
    </w:p>
    <w:p w14:paraId="739F5A50" w14:textId="77777777" w:rsidR="00F833FB" w:rsidRDefault="00000000">
      <w:pPr>
        <w:adjustRightInd w:val="0"/>
        <w:snapToGrid w:val="0"/>
        <w:spacing w:line="360" w:lineRule="auto"/>
        <w:ind w:firstLineChars="200" w:firstLine="560"/>
        <w:rPr>
          <w:rFonts w:ascii="黑体" w:eastAsia="黑体" w:hAnsi="黑体"/>
          <w:bCs/>
          <w:color w:val="000000"/>
          <w:sz w:val="28"/>
          <w:szCs w:val="28"/>
          <w:shd w:val="clear" w:color="auto" w:fill="FFFFFF"/>
        </w:rPr>
      </w:pPr>
      <w:r>
        <w:rPr>
          <w:rFonts w:ascii="黑体" w:eastAsia="黑体" w:hAnsi="黑体" w:hint="eastAsia"/>
          <w:bCs/>
          <w:color w:val="000000"/>
          <w:sz w:val="28"/>
          <w:szCs w:val="28"/>
          <w:shd w:val="clear" w:color="auto" w:fill="FFFFFF"/>
        </w:rPr>
        <w:t xml:space="preserve">三、党风廉政建设方面 </w:t>
      </w:r>
    </w:p>
    <w:p w14:paraId="4358ADEB"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认真学习并严格遵守《中国共产党章程》、《中国共产党廉洁自律准则》、《中国共产党纪律处分条例》等规章制度，</w:t>
      </w:r>
      <w:r>
        <w:rPr>
          <w:rFonts w:ascii="仿宋_GB2312" w:eastAsia="仿宋_GB2312" w:hAnsi="仿宋_GB2312" w:cs="仿宋_GB2312"/>
          <w:sz w:val="28"/>
          <w:szCs w:val="28"/>
        </w:rPr>
        <w:t>坚持以身作则，带头执行中央</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八项规定</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，自觉抵制</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四风</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，自觉遵守个人重大事项报告制度。牢固树立底线思维，主动接受各方监督，使权力始终在阳光下运行。坚持</w:t>
      </w:r>
      <w:r>
        <w:rPr>
          <w:rFonts w:ascii="仿宋_GB2312" w:eastAsia="仿宋_GB2312" w:hAnsi="仿宋_GB2312" w:cs="仿宋_GB2312" w:hint="eastAsia"/>
          <w:sz w:val="28"/>
          <w:szCs w:val="28"/>
        </w:rPr>
        <w:t>将“</w:t>
      </w:r>
      <w:r>
        <w:rPr>
          <w:rFonts w:ascii="仿宋_GB2312" w:eastAsia="仿宋_GB2312" w:hAnsi="仿宋_GB2312" w:cs="仿宋_GB2312"/>
          <w:sz w:val="28"/>
          <w:szCs w:val="28"/>
        </w:rPr>
        <w:t>一岗双责</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落实</w:t>
      </w:r>
      <w:r>
        <w:rPr>
          <w:rFonts w:ascii="仿宋_GB2312" w:eastAsia="仿宋_GB2312" w:hAnsi="仿宋_GB2312" w:cs="仿宋_GB2312" w:hint="eastAsia"/>
          <w:sz w:val="28"/>
          <w:szCs w:val="28"/>
        </w:rPr>
        <w:t>到</w:t>
      </w:r>
      <w:r>
        <w:rPr>
          <w:rFonts w:ascii="仿宋_GB2312" w:eastAsia="仿宋_GB2312" w:hAnsi="仿宋_GB2312" w:cs="仿宋_GB2312"/>
          <w:sz w:val="28"/>
          <w:szCs w:val="28"/>
        </w:rPr>
        <w:t>各项工作。</w:t>
      </w:r>
      <w:r>
        <w:rPr>
          <w:rFonts w:ascii="仿宋_GB2312" w:eastAsia="仿宋_GB2312" w:hAnsi="仿宋_GB2312" w:cs="仿宋_GB2312" w:hint="eastAsia"/>
          <w:sz w:val="28"/>
          <w:szCs w:val="28"/>
        </w:rPr>
        <w:t>压实党委工作责任，建立学院重点工作责任制，加强督导监督，确保件件落实。在常和长、严和实、深和细上下功夫，以钉钉子的精神坚决打赢作风建设持久战，确保党中央、河南省和学校的决策部署落地生根。</w:t>
      </w:r>
    </w:p>
    <w:p w14:paraId="3C14D7C7" w14:textId="77777777" w:rsidR="00F833FB" w:rsidRDefault="00000000">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回顾三年的工作，虽然得到了锻炼、提高，但是还存在许多不足之处。如理论和专业学习不够系统深入；工作效率有待于进一步提高；创新工作方式等。改进措施：一是增强理论学习的针对性、系统性，提升新时期运用大数据和现代信息技术推进工作的能力。二是以高度负责的态度对待工作，坚持工作标准，狠抓任务落实，尊重科学规律，大胆求实创新。</w:t>
      </w:r>
    </w:p>
    <w:sectPr w:rsidR="00F833FB">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9379C" w14:textId="77777777" w:rsidR="00CA2409" w:rsidRDefault="00CA2409">
      <w:r>
        <w:separator/>
      </w:r>
    </w:p>
  </w:endnote>
  <w:endnote w:type="continuationSeparator" w:id="0">
    <w:p w14:paraId="2B5839E6" w14:textId="77777777" w:rsidR="00CA2409" w:rsidRDefault="00CA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panose1 w:val="020B0604020202020204"/>
    <w:charset w:val="00"/>
    <w:family w:val="auto"/>
    <w:pitch w:val="default"/>
  </w:font>
  <w:font w:name="方正小标宋简体">
    <w:altName w:val="微软雅黑"/>
    <w:panose1 w:val="020B0604020202020204"/>
    <w:charset w:val="86"/>
    <w:family w:val="auto"/>
    <w:pitch w:val="default"/>
    <w:sig w:usb0="00000000" w:usb1="00000000" w:usb2="00000010" w:usb3="00000000" w:csb0="00040000" w:csb1="00000000"/>
  </w:font>
  <w:font w:name="楷体_GB2312">
    <w:altName w:val="楷体"/>
    <w:panose1 w:val="020B0604020202020204"/>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480378"/>
    </w:sdtPr>
    <w:sdtEndPr>
      <w:rPr>
        <w:rFonts w:asciiTheme="majorEastAsia" w:eastAsiaTheme="majorEastAsia" w:hAnsiTheme="majorEastAsia"/>
        <w:sz w:val="28"/>
        <w:szCs w:val="28"/>
      </w:rPr>
    </w:sdtEndPr>
    <w:sdtContent>
      <w:p w14:paraId="390603D6" w14:textId="77777777" w:rsidR="00F833FB" w:rsidRDefault="00000000">
        <w:pPr>
          <w:pStyle w:val="a4"/>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Pr>
            <w:rFonts w:asciiTheme="majorEastAsia" w:eastAsiaTheme="majorEastAsia" w:hAnsiTheme="majorEastAsia"/>
            <w:sz w:val="28"/>
            <w:szCs w:val="28"/>
            <w:lang w:val="zh-CN"/>
          </w:rPr>
          <w:t>-</w:t>
        </w:r>
        <w:r>
          <w:rPr>
            <w:rFonts w:asciiTheme="majorEastAsia" w:eastAsiaTheme="majorEastAsia" w:hAnsiTheme="majorEastAsia"/>
            <w:sz w:val="28"/>
            <w:szCs w:val="28"/>
          </w:rPr>
          <w:t xml:space="preserve"> 4 -</w:t>
        </w:r>
        <w:r>
          <w:rPr>
            <w:rFonts w:asciiTheme="majorEastAsia" w:eastAsiaTheme="majorEastAsia" w:hAnsiTheme="majorEastAsia"/>
            <w:sz w:val="28"/>
            <w:szCs w:val="28"/>
          </w:rPr>
          <w:fldChar w:fldCharType="end"/>
        </w:r>
      </w:p>
    </w:sdtContent>
  </w:sdt>
  <w:p w14:paraId="36CDE942" w14:textId="77777777" w:rsidR="00F833FB" w:rsidRDefault="00F833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726828"/>
    </w:sdtPr>
    <w:sdtEndPr>
      <w:rPr>
        <w:rFonts w:asciiTheme="minorEastAsia" w:hAnsiTheme="minorEastAsia"/>
        <w:sz w:val="28"/>
        <w:szCs w:val="28"/>
      </w:rPr>
    </w:sdtEndPr>
    <w:sdtContent>
      <w:p w14:paraId="32AFC5D2" w14:textId="77777777" w:rsidR="00F833FB" w:rsidRDefault="00000000">
        <w:pPr>
          <w:pStyle w:val="a4"/>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14:paraId="1C44CBFA" w14:textId="77777777" w:rsidR="00F833FB" w:rsidRDefault="00F833F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79DCA" w14:textId="77777777" w:rsidR="00CA2409" w:rsidRDefault="00CA2409">
      <w:r>
        <w:separator/>
      </w:r>
    </w:p>
  </w:footnote>
  <w:footnote w:type="continuationSeparator" w:id="0">
    <w:p w14:paraId="095EDC0D" w14:textId="77777777" w:rsidR="00CA2409" w:rsidRDefault="00CA2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JiYjgxNDkyMDljZjExNzcwZmExOGQ4NGNmZDczNmYifQ=="/>
  </w:docVars>
  <w:rsids>
    <w:rsidRoot w:val="339D5A1A"/>
    <w:rsid w:val="000331D4"/>
    <w:rsid w:val="00041E47"/>
    <w:rsid w:val="000710A2"/>
    <w:rsid w:val="000A1A13"/>
    <w:rsid w:val="00142A86"/>
    <w:rsid w:val="00215638"/>
    <w:rsid w:val="0025687D"/>
    <w:rsid w:val="00271762"/>
    <w:rsid w:val="00315D95"/>
    <w:rsid w:val="003221A0"/>
    <w:rsid w:val="00323629"/>
    <w:rsid w:val="00386BA0"/>
    <w:rsid w:val="00631450"/>
    <w:rsid w:val="0069011D"/>
    <w:rsid w:val="006C6A18"/>
    <w:rsid w:val="006D4247"/>
    <w:rsid w:val="0076574A"/>
    <w:rsid w:val="007C2803"/>
    <w:rsid w:val="0080587B"/>
    <w:rsid w:val="008106FB"/>
    <w:rsid w:val="00815AAB"/>
    <w:rsid w:val="00826854"/>
    <w:rsid w:val="008346D7"/>
    <w:rsid w:val="008821A3"/>
    <w:rsid w:val="00903F99"/>
    <w:rsid w:val="00963317"/>
    <w:rsid w:val="0098392D"/>
    <w:rsid w:val="009840A2"/>
    <w:rsid w:val="009B59A3"/>
    <w:rsid w:val="00A153F7"/>
    <w:rsid w:val="00A621EC"/>
    <w:rsid w:val="00A677E8"/>
    <w:rsid w:val="00AD0F65"/>
    <w:rsid w:val="00AF2757"/>
    <w:rsid w:val="00B16EA8"/>
    <w:rsid w:val="00B76F68"/>
    <w:rsid w:val="00B96DA7"/>
    <w:rsid w:val="00C57D86"/>
    <w:rsid w:val="00CA2409"/>
    <w:rsid w:val="00CD31A8"/>
    <w:rsid w:val="00D4244F"/>
    <w:rsid w:val="00DA58F5"/>
    <w:rsid w:val="00DD312A"/>
    <w:rsid w:val="00E45F79"/>
    <w:rsid w:val="00E4662B"/>
    <w:rsid w:val="00EA6738"/>
    <w:rsid w:val="00F5097C"/>
    <w:rsid w:val="00F833FB"/>
    <w:rsid w:val="00F92A28"/>
    <w:rsid w:val="0EC70A97"/>
    <w:rsid w:val="113E4D5D"/>
    <w:rsid w:val="16D77116"/>
    <w:rsid w:val="18AD40B8"/>
    <w:rsid w:val="190F3ACB"/>
    <w:rsid w:val="198B04BB"/>
    <w:rsid w:val="1995565B"/>
    <w:rsid w:val="21461824"/>
    <w:rsid w:val="275708A0"/>
    <w:rsid w:val="279252FE"/>
    <w:rsid w:val="2C7F0225"/>
    <w:rsid w:val="2DB9327A"/>
    <w:rsid w:val="2DFC577D"/>
    <w:rsid w:val="303870F5"/>
    <w:rsid w:val="30AA6061"/>
    <w:rsid w:val="32982AA1"/>
    <w:rsid w:val="339D5A1A"/>
    <w:rsid w:val="39C8463F"/>
    <w:rsid w:val="45021092"/>
    <w:rsid w:val="49E4782F"/>
    <w:rsid w:val="4D9C4862"/>
    <w:rsid w:val="4E4F36CB"/>
    <w:rsid w:val="52871E8C"/>
    <w:rsid w:val="591B3F53"/>
    <w:rsid w:val="594B68CF"/>
    <w:rsid w:val="5D486AA1"/>
    <w:rsid w:val="628411FE"/>
    <w:rsid w:val="667261B0"/>
    <w:rsid w:val="66EA42A8"/>
    <w:rsid w:val="6AF7131B"/>
    <w:rsid w:val="6D900797"/>
    <w:rsid w:val="6DC40388"/>
    <w:rsid w:val="774A2FA3"/>
    <w:rsid w:val="784B56F5"/>
    <w:rsid w:val="7A386E26"/>
    <w:rsid w:val="7A550AFB"/>
    <w:rsid w:val="7CD671BD"/>
    <w:rsid w:val="7CF40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8700E9E"/>
  <w15:docId w15:val="{9E62FB44-871B-154D-A455-6AE5F6AD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pPr>
      <w:snapToGrid w:val="0"/>
      <w:spacing w:line="580" w:lineRule="atLeast"/>
    </w:pPr>
    <w:rPr>
      <w:rFonts w:ascii="仿宋_GB2312" w:eastAsia="仿宋_GB2312"/>
      <w:sz w:val="32"/>
      <w:szCs w:val="20"/>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styleId="a8">
    <w:name w:val="Emphasis"/>
    <w:basedOn w:val="a1"/>
    <w:qFormat/>
    <w:rPr>
      <w:i/>
    </w:rPr>
  </w:style>
  <w:style w:type="character" w:styleId="a9">
    <w:name w:val="Hyperlink"/>
    <w:basedOn w:val="a1"/>
    <w:qFormat/>
    <w:rPr>
      <w:color w:val="0000FF"/>
      <w:u w:val="single"/>
    </w:rPr>
  </w:style>
  <w:style w:type="character" w:customStyle="1" w:styleId="a7">
    <w:name w:val="页眉 字符"/>
    <w:basedOn w:val="a1"/>
    <w:link w:val="a6"/>
    <w:qFormat/>
    <w:rPr>
      <w:rFonts w:asciiTheme="minorHAnsi" w:eastAsiaTheme="minorEastAsia" w:hAnsiTheme="minorHAnsi" w:cstheme="minorBidi"/>
      <w:kern w:val="2"/>
      <w:sz w:val="18"/>
      <w:szCs w:val="18"/>
    </w:rPr>
  </w:style>
  <w:style w:type="character" w:customStyle="1" w:styleId="a5">
    <w:name w:val="页脚 字符"/>
    <w:basedOn w:val="a1"/>
    <w:link w:val="a4"/>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1626</Characters>
  <Application>Microsoft Office Word</Application>
  <DocSecurity>0</DocSecurity>
  <Lines>13</Lines>
  <Paragraphs>3</Paragraphs>
  <ScaleCrop>false</ScaleCrop>
  <Company>Microsoft</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曹堃</dc:creator>
  <cp:lastModifiedBy>LvQii</cp:lastModifiedBy>
  <cp:revision>2</cp:revision>
  <cp:lastPrinted>2021-07-29T02:17:00Z</cp:lastPrinted>
  <dcterms:created xsi:type="dcterms:W3CDTF">2023-03-07T09:40:00Z</dcterms:created>
  <dcterms:modified xsi:type="dcterms:W3CDTF">2023-03-07T09:40:00Z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6F7FE2FB127343EB8371E5D8ED3F32FD</vt:lpwstr>
  </property>
</Properties>
</file>